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17D58">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b/>
          <w:bCs/>
          <w:sz w:val="32"/>
          <w:szCs w:val="32"/>
          <w:lang w:val="en-US" w:eastAsia="zh-CN"/>
        </w:rPr>
      </w:pPr>
      <w:r>
        <w:rPr>
          <w:rFonts w:hint="eastAsia" w:ascii="宋体" w:hAnsi="宋体" w:eastAsia="宋体" w:cs="宋体"/>
          <w:b w:val="0"/>
          <w:bCs w:val="0"/>
          <w:sz w:val="32"/>
          <w:szCs w:val="32"/>
          <w:lang w:val="en-US" w:eastAsia="zh-CN"/>
        </w:rPr>
        <w:t>关于《</w:t>
      </w:r>
      <w:r>
        <w:rPr>
          <w:rFonts w:hint="eastAsia" w:ascii="宋体" w:hAnsi="宋体" w:eastAsia="宋体" w:cs="宋体"/>
          <w:b w:val="0"/>
          <w:bCs w:val="0"/>
          <w:sz w:val="32"/>
          <w:szCs w:val="32"/>
        </w:rPr>
        <w:t>基于血清靶向代谢组学的食管癌脂代谢紊乱关键标志物筛选与辅助诊断模型构建研究</w:t>
      </w:r>
      <w:r>
        <w:rPr>
          <w:rFonts w:hint="eastAsia" w:ascii="宋体" w:hAnsi="宋体" w:eastAsia="宋体" w:cs="宋体"/>
          <w:b w:val="0"/>
          <w:bCs w:val="0"/>
          <w:sz w:val="32"/>
          <w:szCs w:val="32"/>
          <w:lang w:eastAsia="zh-CN"/>
        </w:rPr>
        <w:t>》</w:t>
      </w:r>
      <w:r>
        <w:rPr>
          <w:rFonts w:hint="eastAsia" w:ascii="宋体" w:hAnsi="宋体" w:eastAsia="宋体" w:cs="宋体"/>
          <w:b w:val="0"/>
          <w:bCs w:val="0"/>
          <w:sz w:val="32"/>
          <w:szCs w:val="32"/>
          <w:lang w:val="en-US" w:eastAsia="zh-CN"/>
        </w:rPr>
        <w:t>科研项目测序</w:t>
      </w:r>
      <w:r>
        <w:rPr>
          <w:rFonts w:hint="eastAsia" w:ascii="宋体" w:hAnsi="宋体" w:eastAsia="宋体" w:cs="宋体"/>
          <w:b w:val="0"/>
          <w:bCs w:val="0"/>
          <w:sz w:val="32"/>
          <w:szCs w:val="32"/>
          <w:lang w:val="en-US" w:eastAsia="zh-CN"/>
        </w:rPr>
        <w:t>采购</w:t>
      </w:r>
      <w:r>
        <w:rPr>
          <w:rFonts w:hint="eastAsia" w:ascii="宋体" w:hAnsi="宋体" w:eastAsia="宋体" w:cs="宋体"/>
          <w:b w:val="0"/>
          <w:bCs w:val="0"/>
          <w:sz w:val="32"/>
          <w:szCs w:val="32"/>
          <w:lang w:val="en-US" w:eastAsia="zh-CN"/>
        </w:rPr>
        <w:t>需求说明</w:t>
      </w:r>
    </w:p>
    <w:p w14:paraId="2E2D51C1">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sz w:val="24"/>
          <w:szCs w:val="24"/>
        </w:rPr>
      </w:pPr>
      <w:r>
        <w:rPr>
          <w:rFonts w:hint="eastAsia" w:ascii="宋体" w:hAnsi="宋体" w:eastAsia="宋体" w:cs="宋体"/>
          <w:b/>
          <w:sz w:val="24"/>
          <w:szCs w:val="24"/>
        </w:rPr>
        <w:t>项目名称：</w:t>
      </w:r>
      <w:r>
        <w:rPr>
          <w:rFonts w:hint="eastAsia" w:ascii="宋体" w:hAnsi="宋体" w:eastAsia="宋体" w:cs="宋体"/>
          <w:sz w:val="24"/>
          <w:szCs w:val="24"/>
        </w:rPr>
        <w:t>基于血清靶向代谢组学的食管癌脂代谢紊乱关键标志物筛选与辅助诊断模型构建研究</w:t>
      </w:r>
    </w:p>
    <w:p w14:paraId="2EE613D6">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sz w:val="24"/>
          <w:szCs w:val="24"/>
        </w:rPr>
      </w:pPr>
      <w:r>
        <w:rPr>
          <w:rFonts w:hint="eastAsia" w:ascii="宋体" w:hAnsi="宋体" w:eastAsia="宋体" w:cs="宋体"/>
          <w:b/>
          <w:sz w:val="24"/>
          <w:szCs w:val="24"/>
        </w:rPr>
        <w:t>项目编号：</w:t>
      </w:r>
      <w:r>
        <w:rPr>
          <w:rFonts w:hint="eastAsia" w:ascii="宋体" w:hAnsi="宋体" w:eastAsia="宋体" w:cs="宋体"/>
          <w:sz w:val="24"/>
          <w:szCs w:val="24"/>
        </w:rPr>
        <w:t>SF2026001</w:t>
      </w:r>
    </w:p>
    <w:p w14:paraId="4AFFB3B3">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sz w:val="24"/>
          <w:szCs w:val="24"/>
        </w:rPr>
      </w:pPr>
      <w:r>
        <w:rPr>
          <w:rFonts w:hint="eastAsia" w:ascii="宋体" w:hAnsi="宋体" w:eastAsia="宋体" w:cs="宋体"/>
          <w:b/>
          <w:sz w:val="24"/>
          <w:szCs w:val="24"/>
        </w:rPr>
        <w:t>承担单位：</w:t>
      </w:r>
      <w:r>
        <w:rPr>
          <w:rFonts w:hint="eastAsia" w:ascii="宋体" w:hAnsi="宋体" w:eastAsia="宋体" w:cs="宋体"/>
          <w:sz w:val="24"/>
          <w:szCs w:val="24"/>
        </w:rPr>
        <w:t>呼伦贝尔市人民医院</w:t>
      </w:r>
    </w:p>
    <w:p w14:paraId="7ED0EFB6">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sz w:val="24"/>
          <w:szCs w:val="24"/>
        </w:rPr>
      </w:pPr>
      <w:r>
        <w:rPr>
          <w:rFonts w:hint="eastAsia" w:ascii="宋体" w:hAnsi="宋体" w:eastAsia="宋体" w:cs="宋体"/>
          <w:b/>
          <w:sz w:val="24"/>
          <w:szCs w:val="24"/>
        </w:rPr>
        <w:t>经费来源：</w:t>
      </w:r>
      <w:r>
        <w:rPr>
          <w:rFonts w:hint="eastAsia" w:ascii="宋体" w:hAnsi="宋体" w:eastAsia="宋体" w:cs="宋体"/>
          <w:sz w:val="24"/>
          <w:szCs w:val="24"/>
        </w:rPr>
        <w:t>呼伦贝尔市应用技术研究与开发资金</w:t>
      </w:r>
      <w:r>
        <w:rPr>
          <w:rFonts w:hint="eastAsia" w:ascii="宋体" w:hAnsi="宋体" w:eastAsia="宋体" w:cs="宋体"/>
          <w:sz w:val="24"/>
          <w:szCs w:val="24"/>
        </w:rPr>
        <w:t>，本项采购总预算9.6万元</w:t>
      </w:r>
    </w:p>
    <w:p w14:paraId="05CD9147">
      <w:pPr>
        <w:pStyle w:val="4"/>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一、项目背景说明</w:t>
      </w:r>
    </w:p>
    <w:p w14:paraId="53608CB5">
      <w:pPr>
        <w:pStyle w:val="30"/>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本项目采用 UPLC</w:t>
      </w:r>
      <w:r>
        <w:rPr>
          <w:rFonts w:hint="eastAsia" w:ascii="宋体" w:hAnsi="宋体" w:eastAsia="宋体" w:cs="宋体"/>
          <w:sz w:val="24"/>
          <w:szCs w:val="24"/>
        </w:rPr>
        <w:noBreakHyphen/>
      </w:r>
      <w:r>
        <w:rPr>
          <w:rFonts w:hint="eastAsia" w:ascii="宋体" w:hAnsi="宋体" w:eastAsia="宋体" w:cs="宋体"/>
          <w:sz w:val="24"/>
          <w:szCs w:val="24"/>
        </w:rPr>
        <w:t>MS/MS 超高效液相色谱</w:t>
      </w:r>
      <w:r>
        <w:rPr>
          <w:rFonts w:hint="eastAsia" w:ascii="宋体" w:hAnsi="宋体" w:eastAsia="宋体" w:cs="宋体"/>
          <w:sz w:val="24"/>
          <w:szCs w:val="24"/>
        </w:rPr>
        <w:noBreakHyphen/>
      </w:r>
      <w:r>
        <w:rPr>
          <w:rFonts w:hint="eastAsia" w:ascii="宋体" w:hAnsi="宋体" w:eastAsia="宋体" w:cs="宋体"/>
          <w:sz w:val="24"/>
          <w:szCs w:val="24"/>
        </w:rPr>
        <w:t>串联质谱靶向代谢组学技术，开展食管癌血清脂质代谢标志物绝对定量检测。依托前期本地区食管癌人群粪便宏基因组与代谢组学前期研究基础，聚焦磷脂类、脂肪酸及其衍生物、胆汁酸类、鞘脂类脂质代谢物开展检测，获取定量数据用于差异代谢物筛选、诊断模型构建、标志物与临床病理特征关联分析，完成项目既定技术考核指标。本次采购第三方</w:t>
      </w:r>
      <w:r>
        <w:rPr>
          <w:rFonts w:hint="eastAsia" w:ascii="宋体" w:hAnsi="宋体" w:eastAsia="宋体" w:cs="宋体"/>
          <w:sz w:val="24"/>
          <w:szCs w:val="24"/>
          <w:lang w:val="en-US" w:eastAsia="zh-CN"/>
        </w:rPr>
        <w:t>检测</w:t>
      </w:r>
      <w:r>
        <w:rPr>
          <w:rFonts w:hint="eastAsia" w:ascii="宋体" w:hAnsi="宋体" w:eastAsia="宋体" w:cs="宋体"/>
          <w:sz w:val="24"/>
          <w:szCs w:val="24"/>
        </w:rPr>
        <w:t>机构提供靶向脂质代谢组学检测服务，保障项目实验数据准确性、可重复性，完成项目既定研究任务。</w:t>
      </w:r>
    </w:p>
    <w:p w14:paraId="767D898E">
      <w:pPr>
        <w:pStyle w:val="4"/>
        <w:keepNext w:val="0"/>
        <w:keepLines w:val="0"/>
        <w:pageBreakBefore w:val="0"/>
        <w:widowControl/>
        <w:suppressLineNumbers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二、服务总体要求</w:t>
      </w:r>
    </w:p>
    <w:p w14:paraId="2DDE6607">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line="360" w:lineRule="auto"/>
        <w:ind w:left="720" w:hanging="360"/>
        <w:textAlignment w:val="auto"/>
        <w:rPr>
          <w:rFonts w:hint="eastAsia" w:ascii="宋体" w:hAnsi="宋体" w:eastAsia="宋体" w:cs="宋体"/>
          <w:sz w:val="24"/>
          <w:szCs w:val="24"/>
        </w:rPr>
      </w:pPr>
      <w:r>
        <w:rPr>
          <w:rFonts w:hint="eastAsia" w:ascii="宋体" w:hAnsi="宋体" w:eastAsia="宋体" w:cs="宋体"/>
          <w:sz w:val="24"/>
          <w:szCs w:val="24"/>
        </w:rPr>
        <w:t>服务商须具备</w:t>
      </w:r>
      <w:r>
        <w:rPr>
          <w:rFonts w:hint="eastAsia" w:ascii="宋体" w:hAnsi="宋体" w:eastAsia="宋体" w:cs="宋体"/>
          <w:sz w:val="24"/>
          <w:szCs w:val="24"/>
          <w:lang w:val="en-US" w:eastAsia="zh-CN"/>
        </w:rPr>
        <w:t>相应检测资质</w:t>
      </w:r>
      <w:r>
        <w:rPr>
          <w:rFonts w:hint="eastAsia" w:ascii="宋体" w:hAnsi="宋体" w:eastAsia="宋体" w:cs="宋体"/>
          <w:sz w:val="24"/>
          <w:szCs w:val="24"/>
        </w:rPr>
        <w:t>与实验室质量控制体系</w:t>
      </w:r>
      <w:r>
        <w:rPr>
          <w:rFonts w:hint="eastAsia" w:ascii="宋体" w:hAnsi="宋体" w:eastAsia="宋体" w:cs="宋体"/>
          <w:sz w:val="24"/>
          <w:szCs w:val="24"/>
          <w:lang w:eastAsia="zh-CN"/>
        </w:rPr>
        <w:t>，</w:t>
      </w:r>
      <w:bookmarkStart w:id="0" w:name="_GoBack"/>
      <w:bookmarkEnd w:id="0"/>
      <w:r>
        <w:rPr>
          <w:rFonts w:hint="eastAsia" w:ascii="宋体" w:hAnsi="宋体" w:eastAsia="宋体" w:cs="宋体"/>
          <w:sz w:val="24"/>
          <w:szCs w:val="24"/>
        </w:rPr>
        <w:t>可提供生物样本靶向代谢组绝对定量检测服务。</w:t>
      </w:r>
    </w:p>
    <w:p w14:paraId="3BDEAACE">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line="360" w:lineRule="auto"/>
        <w:ind w:left="720" w:hanging="360"/>
        <w:textAlignment w:val="auto"/>
        <w:rPr>
          <w:rFonts w:hint="eastAsia" w:ascii="宋体" w:hAnsi="宋体" w:eastAsia="宋体" w:cs="宋体"/>
          <w:sz w:val="24"/>
          <w:szCs w:val="24"/>
        </w:rPr>
      </w:pPr>
      <w:r>
        <w:rPr>
          <w:rFonts w:hint="eastAsia" w:ascii="宋体" w:hAnsi="宋体" w:eastAsia="宋体" w:cs="宋体"/>
          <w:sz w:val="24"/>
          <w:szCs w:val="24"/>
        </w:rPr>
        <w:t>采用超高效液相色谱串联三重四极杆质谱（UPLC</w:t>
      </w:r>
      <w:r>
        <w:rPr>
          <w:rFonts w:hint="eastAsia" w:ascii="宋体" w:hAnsi="宋体" w:eastAsia="宋体" w:cs="宋体"/>
          <w:sz w:val="24"/>
          <w:szCs w:val="24"/>
        </w:rPr>
        <w:noBreakHyphen/>
      </w:r>
      <w:r>
        <w:rPr>
          <w:rFonts w:hint="eastAsia" w:ascii="宋体" w:hAnsi="宋体" w:eastAsia="宋体" w:cs="宋体"/>
          <w:sz w:val="24"/>
          <w:szCs w:val="24"/>
        </w:rPr>
        <w:t>MS/MS）平台开展检测，使用稳定同位素标记内标开展校正，实现代谢物绝对定量；每批次样本插入质控样本，完成系统稳定性、重复性监控。</w:t>
      </w:r>
    </w:p>
    <w:p w14:paraId="5469EBED">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line="360" w:lineRule="auto"/>
        <w:ind w:left="720" w:hanging="360"/>
        <w:textAlignment w:val="auto"/>
        <w:rPr>
          <w:rFonts w:hint="eastAsia" w:ascii="宋体" w:hAnsi="宋体" w:eastAsia="宋体" w:cs="宋体"/>
          <w:sz w:val="24"/>
          <w:szCs w:val="24"/>
        </w:rPr>
      </w:pPr>
      <w:r>
        <w:rPr>
          <w:rFonts w:hint="eastAsia" w:ascii="宋体" w:hAnsi="宋体" w:eastAsia="宋体" w:cs="宋体"/>
          <w:sz w:val="24"/>
          <w:szCs w:val="24"/>
        </w:rPr>
        <w:t>交付完整原始质谱数据、标准化定量数据矩阵、实验方法学报告，所有数据格式满足后续生物信息学统计分析要求。</w:t>
      </w:r>
    </w:p>
    <w:p w14:paraId="44C3D9CF">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1" w:after="0" w:afterAutospacing="1" w:line="360" w:lineRule="auto"/>
        <w:ind w:left="720" w:hanging="360"/>
        <w:textAlignment w:val="auto"/>
        <w:rPr>
          <w:rFonts w:hint="eastAsia" w:ascii="宋体" w:hAnsi="宋体" w:eastAsia="宋体" w:cs="宋体"/>
          <w:sz w:val="24"/>
          <w:szCs w:val="24"/>
        </w:rPr>
      </w:pPr>
      <w:r>
        <w:rPr>
          <w:rFonts w:hint="eastAsia" w:ascii="宋体" w:hAnsi="宋体" w:eastAsia="宋体" w:cs="宋体"/>
          <w:sz w:val="24"/>
          <w:szCs w:val="24"/>
        </w:rPr>
        <w:t>严格执行生物样本分析规范，完成方法学验证（线性、精密度、准确度、稳定性），数据可溯源。</w:t>
      </w:r>
    </w:p>
    <w:p w14:paraId="04CD23EB">
      <w:pPr>
        <w:keepNext w:val="0"/>
        <w:keepLines w:val="0"/>
        <w:pageBreakBefore w:val="0"/>
        <w:widowControl/>
        <w:kinsoku/>
        <w:wordWrap/>
        <w:overflowPunct/>
        <w:topLinePunct w:val="0"/>
        <w:autoSpaceDE/>
        <w:autoSpaceDN/>
        <w:bidi w:val="0"/>
        <w:adjustRightInd/>
        <w:snapToGrid/>
        <w:spacing w:after="80" w:line="360" w:lineRule="auto"/>
        <w:ind w:firstLine="0"/>
        <w:textAlignment w:val="auto"/>
        <w:rPr>
          <w:rFonts w:hint="eastAsia" w:ascii="宋体" w:hAnsi="宋体" w:eastAsia="宋体" w:cs="宋体"/>
          <w:sz w:val="24"/>
          <w:szCs w:val="24"/>
        </w:rPr>
      </w:pPr>
    </w:p>
    <w:p w14:paraId="67859CA7">
      <w:pPr>
        <w:keepNext w:val="0"/>
        <w:keepLines w:val="0"/>
        <w:pageBreakBefore w:val="0"/>
        <w:widowControl/>
        <w:kinsoku/>
        <w:wordWrap/>
        <w:overflowPunct/>
        <w:topLinePunct w:val="0"/>
        <w:autoSpaceDE/>
        <w:autoSpaceDN/>
        <w:bidi w:val="0"/>
        <w:adjustRightInd/>
        <w:snapToGrid/>
        <w:spacing w:after="80" w:line="36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采购服务明细及预算表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304"/>
        <w:gridCol w:w="567"/>
        <w:gridCol w:w="576"/>
        <w:gridCol w:w="964"/>
        <w:gridCol w:w="964"/>
        <w:gridCol w:w="4139"/>
      </w:tblGrid>
      <w:tr w14:paraId="1ACDB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shd w:val="clear" w:color="auto" w:fill="D9D9D9"/>
            <w:vAlign w:val="center"/>
          </w:tcPr>
          <w:p w14:paraId="68EB4EA1">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序号</w:t>
            </w:r>
          </w:p>
        </w:tc>
        <w:tc>
          <w:tcPr>
            <w:tcW w:w="1304" w:type="dxa"/>
            <w:shd w:val="clear" w:color="auto" w:fill="D9D9D9"/>
            <w:vAlign w:val="center"/>
          </w:tcPr>
          <w:p w14:paraId="50FFE9B8">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服务名称</w:t>
            </w:r>
          </w:p>
        </w:tc>
        <w:tc>
          <w:tcPr>
            <w:tcW w:w="567" w:type="dxa"/>
            <w:shd w:val="clear" w:color="auto" w:fill="D9D9D9"/>
            <w:vAlign w:val="center"/>
          </w:tcPr>
          <w:p w14:paraId="2885EC36">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单位</w:t>
            </w:r>
          </w:p>
        </w:tc>
        <w:tc>
          <w:tcPr>
            <w:tcW w:w="567" w:type="dxa"/>
            <w:shd w:val="clear" w:color="auto" w:fill="D9D9D9"/>
            <w:vAlign w:val="center"/>
          </w:tcPr>
          <w:p w14:paraId="08E07F90">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数量</w:t>
            </w:r>
          </w:p>
        </w:tc>
        <w:tc>
          <w:tcPr>
            <w:tcW w:w="964" w:type="dxa"/>
            <w:shd w:val="clear" w:color="auto" w:fill="D9D9D9"/>
            <w:vAlign w:val="center"/>
          </w:tcPr>
          <w:p w14:paraId="3FFA89EA">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单项预算</w:t>
            </w:r>
          </w:p>
          <w:p w14:paraId="2D43AB74">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（万元）</w:t>
            </w:r>
          </w:p>
        </w:tc>
        <w:tc>
          <w:tcPr>
            <w:tcW w:w="964" w:type="dxa"/>
            <w:shd w:val="clear" w:color="auto" w:fill="D9D9D9"/>
            <w:vAlign w:val="center"/>
          </w:tcPr>
          <w:p w14:paraId="0E2100B7">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预算小计</w:t>
            </w:r>
          </w:p>
          <w:p w14:paraId="15346AA5">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（万元）</w:t>
            </w:r>
          </w:p>
        </w:tc>
        <w:tc>
          <w:tcPr>
            <w:tcW w:w="4139" w:type="dxa"/>
            <w:shd w:val="clear" w:color="auto" w:fill="D9D9D9"/>
            <w:vAlign w:val="center"/>
          </w:tcPr>
          <w:p w14:paraId="4E78E7C2">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服务内容说明</w:t>
            </w:r>
          </w:p>
        </w:tc>
      </w:tr>
      <w:tr w14:paraId="43FB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A9CE9B2">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1</w:t>
            </w:r>
          </w:p>
        </w:tc>
        <w:tc>
          <w:tcPr>
            <w:tcW w:w="1304" w:type="dxa"/>
            <w:vAlign w:val="center"/>
          </w:tcPr>
          <w:p w14:paraId="25DEB4DE">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靶向脂质代谢物UPLC-MS/MS绝对定量检测</w:t>
            </w:r>
          </w:p>
        </w:tc>
        <w:tc>
          <w:tcPr>
            <w:tcW w:w="567" w:type="dxa"/>
            <w:vAlign w:val="center"/>
          </w:tcPr>
          <w:p w14:paraId="148F14F0">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样本</w:t>
            </w:r>
          </w:p>
        </w:tc>
        <w:tc>
          <w:tcPr>
            <w:tcW w:w="567" w:type="dxa"/>
            <w:vAlign w:val="center"/>
          </w:tcPr>
          <w:p w14:paraId="1591A407">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110</w:t>
            </w:r>
          </w:p>
        </w:tc>
        <w:tc>
          <w:tcPr>
            <w:tcW w:w="964" w:type="dxa"/>
            <w:vAlign w:val="center"/>
          </w:tcPr>
          <w:p w14:paraId="62D8C4D6">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0.0873</w:t>
            </w:r>
          </w:p>
        </w:tc>
        <w:tc>
          <w:tcPr>
            <w:tcW w:w="964" w:type="dxa"/>
            <w:vAlign w:val="center"/>
          </w:tcPr>
          <w:p w14:paraId="3F6D323E">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9.60</w:t>
            </w:r>
          </w:p>
        </w:tc>
        <w:tc>
          <w:tcPr>
            <w:tcW w:w="4139" w:type="dxa"/>
            <w:vAlign w:val="center"/>
          </w:tcPr>
          <w:p w14:paraId="4D87C5AE">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hint="eastAsia" w:ascii="宋体" w:hAnsi="宋体" w:eastAsia="宋体" w:cs="宋体"/>
                <w:sz w:val="24"/>
                <w:szCs w:val="24"/>
              </w:rPr>
            </w:pPr>
            <w:r>
              <w:rPr>
                <w:rFonts w:hint="eastAsia" w:ascii="宋体" w:hAnsi="宋体" w:eastAsia="宋体" w:cs="宋体"/>
                <w:b w:val="0"/>
                <w:sz w:val="24"/>
                <w:szCs w:val="24"/>
              </w:rPr>
              <w:t>包含血清样本前处理、样本质控（剔除溶血、脂血不合格样本）；检测涵盖磷脂类、脂肪酸及其衍生物、胆汁酸类、鞘脂类，合计≥5大类约150种目标脂质代谢物；稳定同位素内标校正，多反应监测模式采集；穿插批次质控样本；完成峰提取、积分、内标校正，输出原始质谱数据、归一化定量数据矩阵、质控评估报告。</w:t>
            </w:r>
          </w:p>
        </w:tc>
      </w:tr>
      <w:tr w14:paraId="00AE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shd w:val="clear" w:color="auto" w:fill="F2F2F2"/>
            <w:vAlign w:val="center"/>
          </w:tcPr>
          <w:p w14:paraId="1F9695C2">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合计</w:t>
            </w:r>
          </w:p>
        </w:tc>
        <w:tc>
          <w:tcPr>
            <w:tcW w:w="1304" w:type="dxa"/>
            <w:shd w:val="clear" w:color="auto" w:fill="F2F2F2"/>
            <w:vAlign w:val="center"/>
          </w:tcPr>
          <w:p w14:paraId="1D0CBBB4">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w:t>
            </w:r>
          </w:p>
        </w:tc>
        <w:tc>
          <w:tcPr>
            <w:tcW w:w="567" w:type="dxa"/>
            <w:shd w:val="clear" w:color="auto" w:fill="F2F2F2"/>
            <w:vAlign w:val="center"/>
          </w:tcPr>
          <w:p w14:paraId="44FB2E85">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w:t>
            </w:r>
          </w:p>
        </w:tc>
        <w:tc>
          <w:tcPr>
            <w:tcW w:w="567" w:type="dxa"/>
            <w:shd w:val="clear" w:color="auto" w:fill="F2F2F2"/>
            <w:vAlign w:val="center"/>
          </w:tcPr>
          <w:p w14:paraId="126CFC08">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w:t>
            </w:r>
          </w:p>
        </w:tc>
        <w:tc>
          <w:tcPr>
            <w:tcW w:w="964" w:type="dxa"/>
            <w:shd w:val="clear" w:color="auto" w:fill="F2F2F2"/>
            <w:vAlign w:val="center"/>
          </w:tcPr>
          <w:p w14:paraId="18FF793A">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val="0"/>
                <w:sz w:val="24"/>
                <w:szCs w:val="24"/>
              </w:rPr>
              <w:t>—</w:t>
            </w:r>
          </w:p>
        </w:tc>
        <w:tc>
          <w:tcPr>
            <w:tcW w:w="964" w:type="dxa"/>
            <w:shd w:val="clear" w:color="auto" w:fill="F2F2F2"/>
            <w:vAlign w:val="center"/>
          </w:tcPr>
          <w:p w14:paraId="29831194">
            <w:pPr>
              <w:keepNext w:val="0"/>
              <w:keepLines w:val="0"/>
              <w:pageBreakBefore w:val="0"/>
              <w:widowControl/>
              <w:kinsoku/>
              <w:wordWrap/>
              <w:overflowPunct/>
              <w:topLinePunct w:val="0"/>
              <w:autoSpaceDE/>
              <w:autoSpaceDN/>
              <w:bidi w:val="0"/>
              <w:adjustRightInd/>
              <w:snapToGrid/>
              <w:spacing w:before="0" w:after="0" w:line="360" w:lineRule="auto"/>
              <w:ind w:firstLine="0"/>
              <w:jc w:val="center"/>
              <w:textAlignment w:val="auto"/>
              <w:rPr>
                <w:rFonts w:hint="eastAsia" w:ascii="宋体" w:hAnsi="宋体" w:eastAsia="宋体" w:cs="宋体"/>
                <w:sz w:val="24"/>
                <w:szCs w:val="24"/>
              </w:rPr>
            </w:pPr>
            <w:r>
              <w:rPr>
                <w:rFonts w:hint="eastAsia" w:ascii="宋体" w:hAnsi="宋体" w:eastAsia="宋体" w:cs="宋体"/>
                <w:b/>
                <w:sz w:val="24"/>
                <w:szCs w:val="24"/>
              </w:rPr>
              <w:t>9.60</w:t>
            </w:r>
          </w:p>
        </w:tc>
        <w:tc>
          <w:tcPr>
            <w:tcW w:w="4139" w:type="dxa"/>
            <w:shd w:val="clear" w:color="auto" w:fill="F2F2F2"/>
            <w:vAlign w:val="center"/>
          </w:tcPr>
          <w:p w14:paraId="53248C97">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hint="eastAsia" w:ascii="宋体" w:hAnsi="宋体" w:eastAsia="宋体" w:cs="宋体"/>
                <w:sz w:val="24"/>
                <w:szCs w:val="24"/>
              </w:rPr>
            </w:pPr>
            <w:r>
              <w:rPr>
                <w:rFonts w:hint="eastAsia" w:ascii="宋体" w:hAnsi="宋体" w:eastAsia="宋体" w:cs="宋体"/>
                <w:b w:val="0"/>
                <w:sz w:val="24"/>
                <w:szCs w:val="24"/>
              </w:rPr>
              <w:t>本项服务总预算9.6万元，来源于项目业务费预算。</w:t>
            </w:r>
          </w:p>
        </w:tc>
      </w:tr>
    </w:tbl>
    <w:p w14:paraId="2F1907DC">
      <w:pPr>
        <w:keepNext w:val="0"/>
        <w:keepLines w:val="0"/>
        <w:pageBreakBefore w:val="0"/>
        <w:widowControl/>
        <w:kinsoku/>
        <w:wordWrap/>
        <w:overflowPunct/>
        <w:topLinePunct w:val="0"/>
        <w:autoSpaceDE/>
        <w:autoSpaceDN/>
        <w:bidi w:val="0"/>
        <w:adjustRightInd/>
        <w:snapToGrid/>
        <w:spacing w:before="120" w:after="40" w:line="360" w:lineRule="auto"/>
        <w:ind w:firstLine="0"/>
        <w:textAlignment w:val="auto"/>
        <w:rPr>
          <w:rFonts w:hint="eastAsia" w:ascii="宋体" w:hAnsi="宋体" w:eastAsia="宋体" w:cs="宋体"/>
          <w:sz w:val="24"/>
          <w:szCs w:val="24"/>
        </w:rPr>
      </w:pPr>
      <w:r>
        <w:rPr>
          <w:rFonts w:hint="eastAsia" w:ascii="宋体" w:hAnsi="宋体" w:eastAsia="宋体" w:cs="宋体"/>
          <w:b/>
          <w:sz w:val="24"/>
          <w:szCs w:val="24"/>
        </w:rPr>
        <w:t>备注：</w:t>
      </w:r>
    </w:p>
    <w:p w14:paraId="664C0780">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宋体" w:hAnsi="宋体" w:eastAsia="宋体" w:cs="宋体"/>
          <w:sz w:val="24"/>
          <w:szCs w:val="24"/>
        </w:rPr>
      </w:pPr>
      <w:r>
        <w:rPr>
          <w:rFonts w:hint="eastAsia" w:ascii="宋体" w:hAnsi="宋体" w:eastAsia="宋体" w:cs="宋体"/>
          <w:sz w:val="24"/>
          <w:szCs w:val="24"/>
        </w:rPr>
        <w:t>1. 本采购项目为科研项目外送检测服务，服务商须具备相应质谱检测资质与实验室质量控制体系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且</w:t>
      </w:r>
      <w:r>
        <w:rPr>
          <w:rFonts w:hint="eastAsia" w:ascii="宋体" w:hAnsi="宋体" w:eastAsia="宋体" w:cs="宋体"/>
          <w:sz w:val="24"/>
          <w:szCs w:val="24"/>
        </w:rPr>
        <w:t>具备</w:t>
      </w:r>
      <w:r>
        <w:rPr>
          <w:rStyle w:val="134"/>
          <w:rFonts w:hint="eastAsia" w:ascii="宋体" w:hAnsi="宋体" w:eastAsia="宋体" w:cs="宋体"/>
          <w:b w:val="0"/>
          <w:bCs w:val="0"/>
          <w:sz w:val="24"/>
          <w:szCs w:val="24"/>
          <w:lang w:val="en-US" w:eastAsia="zh-CN"/>
        </w:rPr>
        <w:t>CNAS认可</w:t>
      </w:r>
      <w:r>
        <w:rPr>
          <w:rStyle w:val="134"/>
          <w:rFonts w:hint="eastAsia" w:ascii="宋体" w:hAnsi="宋体" w:eastAsia="宋体" w:cs="宋体"/>
          <w:b w:val="0"/>
          <w:bCs w:val="0"/>
          <w:sz w:val="24"/>
          <w:szCs w:val="24"/>
        </w:rPr>
        <w:t>资质</w:t>
      </w:r>
      <w:r>
        <w:rPr>
          <w:rStyle w:val="134"/>
          <w:rFonts w:hint="eastAsia" w:ascii="宋体" w:hAnsi="宋体" w:eastAsia="宋体" w:cs="宋体"/>
          <w:b w:val="0"/>
          <w:bCs w:val="0"/>
          <w:sz w:val="24"/>
          <w:szCs w:val="24"/>
          <w:lang w:val="en-US" w:eastAsia="zh-CN"/>
        </w:rPr>
        <w:t>实验室优先考虑</w:t>
      </w:r>
      <w:r>
        <w:rPr>
          <w:rFonts w:hint="eastAsia" w:ascii="宋体" w:hAnsi="宋体" w:eastAsia="宋体" w:cs="宋体"/>
          <w:sz w:val="24"/>
          <w:szCs w:val="24"/>
        </w:rPr>
        <w:t>。</w:t>
      </w:r>
    </w:p>
    <w:p w14:paraId="69D03FDD">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宋体" w:hAnsi="宋体" w:eastAsia="宋体" w:cs="宋体"/>
          <w:sz w:val="24"/>
          <w:szCs w:val="24"/>
        </w:rPr>
      </w:pPr>
      <w:r>
        <w:rPr>
          <w:rFonts w:hint="eastAsia" w:ascii="宋体" w:hAnsi="宋体" w:eastAsia="宋体" w:cs="宋体"/>
          <w:sz w:val="24"/>
          <w:szCs w:val="24"/>
        </w:rPr>
        <w:t>2. 服务商须对临床血清样本及受试者信息严格保密，检测数据不得外泄。</w:t>
      </w:r>
    </w:p>
    <w:p w14:paraId="1BD534EE">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宋体" w:hAnsi="宋体" w:eastAsia="宋体" w:cs="宋体"/>
          <w:sz w:val="24"/>
          <w:szCs w:val="24"/>
        </w:rPr>
      </w:pPr>
      <w:r>
        <w:rPr>
          <w:rFonts w:hint="eastAsia" w:ascii="宋体" w:hAnsi="宋体" w:eastAsia="宋体" w:cs="宋体"/>
          <w:sz w:val="24"/>
          <w:szCs w:val="24"/>
        </w:rPr>
        <w:t>3. 检测不合格样本由服务商免费复检，交付物包含原始质谱数据、定量数据矩阵及完整质控报告。</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A0204"/>
    <w:charset w:val="00"/>
    <w:family w:val="auto"/>
    <w:pitch w:val="default"/>
    <w:sig w:usb0="E00006FF" w:usb1="4000045F" w:usb2="00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A71A5"/>
    <w:multiLevelType w:val="multilevel"/>
    <w:tmpl w:val="E71A71A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963ADD"/>
    <w:rsid w:val="2B317E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447</Words>
  <Characters>486</Characters>
  <Lines>0</Lines>
  <Paragraphs>0</Paragraphs>
  <TotalTime>3</TotalTime>
  <ScaleCrop>false</ScaleCrop>
  <LinksUpToDate>false</LinksUpToDate>
  <CharactersWithSpaces>489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我是冷漠脸</cp:lastModifiedBy>
  <dcterms:modified xsi:type="dcterms:W3CDTF">2026-10-15T04:09:46Z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eyJoZGlkIjoiYmIwOWMxZjYzNTY1YmZhOTgyMDk0ZTY4NmNlNDNkNmUiLCJ1c2VySWQiOiIzNDI4MDIwNzgifQ==</vt:lpwstr>
  </property>
  <property fmtid="{D5CDD505-2E9C-101B-9397-08002B2CF9AE}" pid="3" name="KSOProductBuildVer">
    <vt:lpwstr>2052-12.1.0.28505</vt:lpwstr>
  </property>
  <property fmtid="{D5CDD505-2E9C-101B-9397-08002B2CF9AE}" pid="4" name="ICV">
    <vt:lpwstr>267755C4D58E42FCBA7473128D012B29_13</vt:lpwstr>
  </property>
</Properties>
</file>